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72109" w14:textId="36D51AFC" w:rsidR="00FA5DB7" w:rsidRPr="001A57C5" w:rsidRDefault="00631A91" w:rsidP="00FA5DB7">
      <w:pPr>
        <w:pStyle w:val="NoSpacing"/>
        <w:rPr>
          <w:rFonts w:ascii="Calibri" w:hAnsi="Calibri" w:cs="Calibri"/>
          <w:sz w:val="24"/>
          <w:szCs w:val="24"/>
        </w:rPr>
      </w:pPr>
      <w:r w:rsidRPr="001A57C5">
        <w:rPr>
          <w:rFonts w:ascii="Calibri" w:hAnsi="Calibri" w:cs="Calibri"/>
          <w:sz w:val="24"/>
          <w:szCs w:val="24"/>
        </w:rPr>
        <w:t>December 1</w:t>
      </w:r>
      <w:r w:rsidR="0091632B">
        <w:rPr>
          <w:rFonts w:ascii="Calibri" w:hAnsi="Calibri" w:cs="Calibri"/>
          <w:sz w:val="24"/>
          <w:szCs w:val="24"/>
        </w:rPr>
        <w:t>6</w:t>
      </w:r>
      <w:r w:rsidRPr="001A57C5">
        <w:rPr>
          <w:rFonts w:ascii="Calibri" w:hAnsi="Calibri" w:cs="Calibri"/>
          <w:sz w:val="24"/>
          <w:szCs w:val="24"/>
        </w:rPr>
        <w:t>, 2019</w:t>
      </w:r>
    </w:p>
    <w:p w14:paraId="17C9DAD0" w14:textId="77777777" w:rsidR="00631A91" w:rsidRPr="001A57C5" w:rsidRDefault="00631A91" w:rsidP="00FA5DB7">
      <w:pPr>
        <w:pStyle w:val="NoSpacing"/>
        <w:rPr>
          <w:rFonts w:ascii="Calibri" w:hAnsi="Calibri" w:cs="Calibri"/>
          <w:sz w:val="24"/>
          <w:szCs w:val="24"/>
        </w:rPr>
      </w:pPr>
    </w:p>
    <w:p w14:paraId="714195A0" w14:textId="2C84BAD7" w:rsidR="0091632B" w:rsidRDefault="0091632B" w:rsidP="00FA5DB7">
      <w:pPr>
        <w:pStyle w:val="NoSpacing"/>
        <w:rPr>
          <w:rFonts w:ascii="Calibri" w:hAnsi="Calibri" w:cs="Calibri"/>
          <w:sz w:val="24"/>
          <w:szCs w:val="24"/>
        </w:rPr>
      </w:pPr>
      <w:r>
        <w:rPr>
          <w:rFonts w:ascii="Calibri" w:hAnsi="Calibri" w:cs="Calibri"/>
          <w:sz w:val="24"/>
          <w:szCs w:val="24"/>
        </w:rPr>
        <w:t>Judith Cash, Director</w:t>
      </w:r>
    </w:p>
    <w:p w14:paraId="7B009FAC" w14:textId="0CD30193" w:rsidR="0091632B" w:rsidRDefault="0091632B" w:rsidP="00FA5DB7">
      <w:pPr>
        <w:pStyle w:val="NoSpacing"/>
        <w:rPr>
          <w:rFonts w:ascii="Calibri" w:hAnsi="Calibri" w:cs="Calibri"/>
          <w:sz w:val="24"/>
          <w:szCs w:val="24"/>
        </w:rPr>
      </w:pPr>
      <w:r>
        <w:rPr>
          <w:rFonts w:ascii="Calibri" w:hAnsi="Calibri" w:cs="Calibri"/>
          <w:sz w:val="24"/>
          <w:szCs w:val="24"/>
        </w:rPr>
        <w:t>State Demonstrations Group</w:t>
      </w:r>
    </w:p>
    <w:p w14:paraId="15F01DF3" w14:textId="7918BF28" w:rsidR="0091632B" w:rsidRDefault="0091632B" w:rsidP="00FA5DB7">
      <w:pPr>
        <w:pStyle w:val="NoSpacing"/>
        <w:rPr>
          <w:rFonts w:ascii="Calibri" w:hAnsi="Calibri" w:cs="Calibri"/>
          <w:sz w:val="24"/>
          <w:szCs w:val="24"/>
        </w:rPr>
      </w:pPr>
      <w:r>
        <w:rPr>
          <w:rFonts w:ascii="Calibri" w:hAnsi="Calibri" w:cs="Calibri"/>
          <w:sz w:val="24"/>
          <w:szCs w:val="24"/>
        </w:rPr>
        <w:t>Centers for Medicare &amp; Medicaid Services</w:t>
      </w:r>
    </w:p>
    <w:p w14:paraId="456A5F1C" w14:textId="26EA62FD" w:rsidR="0091632B" w:rsidRDefault="0091632B" w:rsidP="00FA5DB7">
      <w:pPr>
        <w:pStyle w:val="NoSpacing"/>
        <w:rPr>
          <w:rFonts w:ascii="Calibri" w:hAnsi="Calibri" w:cs="Calibri"/>
          <w:sz w:val="24"/>
          <w:szCs w:val="24"/>
        </w:rPr>
      </w:pPr>
      <w:r>
        <w:rPr>
          <w:rFonts w:ascii="Calibri" w:hAnsi="Calibri" w:cs="Calibri"/>
          <w:sz w:val="24"/>
          <w:szCs w:val="24"/>
        </w:rPr>
        <w:t xml:space="preserve">Centers for Medicaid and CHIP Services </w:t>
      </w:r>
    </w:p>
    <w:p w14:paraId="08E4482C" w14:textId="557C6DEE" w:rsidR="0091632B" w:rsidRDefault="0091632B" w:rsidP="00FA5DB7">
      <w:pPr>
        <w:pStyle w:val="NoSpacing"/>
        <w:rPr>
          <w:rFonts w:ascii="Calibri" w:hAnsi="Calibri" w:cs="Calibri"/>
          <w:sz w:val="24"/>
          <w:szCs w:val="24"/>
        </w:rPr>
      </w:pPr>
      <w:r>
        <w:rPr>
          <w:rFonts w:ascii="Calibri" w:hAnsi="Calibri" w:cs="Calibri"/>
          <w:sz w:val="24"/>
          <w:szCs w:val="24"/>
        </w:rPr>
        <w:t>Mail Stop: S2-26-06</w:t>
      </w:r>
    </w:p>
    <w:p w14:paraId="2192391A" w14:textId="1A00AB32" w:rsidR="0091632B" w:rsidRDefault="0091632B" w:rsidP="00FA5DB7">
      <w:pPr>
        <w:pStyle w:val="NoSpacing"/>
        <w:rPr>
          <w:rFonts w:ascii="Calibri" w:hAnsi="Calibri" w:cs="Calibri"/>
          <w:sz w:val="24"/>
          <w:szCs w:val="24"/>
        </w:rPr>
      </w:pPr>
      <w:r>
        <w:rPr>
          <w:rFonts w:ascii="Calibri" w:hAnsi="Calibri" w:cs="Calibri"/>
          <w:sz w:val="24"/>
          <w:szCs w:val="24"/>
        </w:rPr>
        <w:t>7500 Security Boulevard</w:t>
      </w:r>
    </w:p>
    <w:p w14:paraId="26B45E0E" w14:textId="6FAE2ABA" w:rsidR="0091632B" w:rsidRDefault="0091632B" w:rsidP="00FA5DB7">
      <w:pPr>
        <w:pStyle w:val="NoSpacing"/>
        <w:rPr>
          <w:rFonts w:ascii="Calibri" w:hAnsi="Calibri" w:cs="Calibri"/>
          <w:sz w:val="24"/>
          <w:szCs w:val="24"/>
        </w:rPr>
      </w:pPr>
      <w:r>
        <w:rPr>
          <w:rFonts w:ascii="Calibri" w:hAnsi="Calibri" w:cs="Calibri"/>
          <w:sz w:val="24"/>
          <w:szCs w:val="24"/>
        </w:rPr>
        <w:t>Baltimore, MD 21244-1850</w:t>
      </w:r>
    </w:p>
    <w:p w14:paraId="5EA6A977" w14:textId="77777777" w:rsidR="0091632B" w:rsidRPr="001A57C5" w:rsidRDefault="0091632B" w:rsidP="00FA5DB7">
      <w:pPr>
        <w:pStyle w:val="NoSpacing"/>
        <w:rPr>
          <w:rFonts w:ascii="Calibri" w:hAnsi="Calibri" w:cs="Calibri"/>
          <w:sz w:val="24"/>
          <w:szCs w:val="24"/>
        </w:rPr>
      </w:pPr>
    </w:p>
    <w:p w14:paraId="0D5292DF" w14:textId="64B95266" w:rsidR="00631A91" w:rsidRPr="001A57C5" w:rsidRDefault="00631A91" w:rsidP="00FA5DB7">
      <w:pPr>
        <w:pStyle w:val="NoSpacing"/>
        <w:rPr>
          <w:rFonts w:ascii="Calibri" w:hAnsi="Calibri" w:cs="Calibri"/>
          <w:sz w:val="24"/>
          <w:szCs w:val="24"/>
        </w:rPr>
      </w:pPr>
      <w:r w:rsidRPr="001A57C5">
        <w:rPr>
          <w:rFonts w:ascii="Calibri" w:hAnsi="Calibri" w:cs="Calibri"/>
          <w:sz w:val="24"/>
          <w:szCs w:val="24"/>
        </w:rPr>
        <w:t xml:space="preserve">Dear </w:t>
      </w:r>
      <w:r w:rsidR="00B6344A">
        <w:rPr>
          <w:rFonts w:ascii="Calibri" w:hAnsi="Calibri" w:cs="Calibri"/>
          <w:sz w:val="24"/>
          <w:szCs w:val="24"/>
        </w:rPr>
        <w:t xml:space="preserve">Ms. </w:t>
      </w:r>
      <w:r w:rsidR="0091632B">
        <w:rPr>
          <w:rFonts w:ascii="Calibri" w:hAnsi="Calibri" w:cs="Calibri"/>
          <w:sz w:val="24"/>
          <w:szCs w:val="24"/>
        </w:rPr>
        <w:t>Cash</w:t>
      </w:r>
      <w:r w:rsidRPr="001A57C5">
        <w:rPr>
          <w:rFonts w:ascii="Calibri" w:hAnsi="Calibri" w:cs="Calibri"/>
          <w:sz w:val="24"/>
          <w:szCs w:val="24"/>
        </w:rPr>
        <w:t>:</w:t>
      </w:r>
    </w:p>
    <w:p w14:paraId="67885BCF" w14:textId="4003E64D" w:rsidR="00FA5DB7" w:rsidRPr="001A57C5" w:rsidRDefault="00FA5DB7" w:rsidP="00FA5DB7">
      <w:pPr>
        <w:pStyle w:val="NoSpacing"/>
        <w:rPr>
          <w:rFonts w:ascii="Calibri" w:hAnsi="Calibri" w:cs="Calibri"/>
          <w:sz w:val="24"/>
          <w:szCs w:val="24"/>
        </w:rPr>
      </w:pPr>
    </w:p>
    <w:p w14:paraId="21BF5EA2" w14:textId="599E90EB" w:rsidR="0091632B" w:rsidRDefault="00414128" w:rsidP="00414128">
      <w:pPr>
        <w:rPr>
          <w:rFonts w:ascii="Calibri" w:hAnsi="Calibri" w:cs="Calibri"/>
          <w:sz w:val="24"/>
          <w:szCs w:val="24"/>
        </w:rPr>
      </w:pPr>
      <w:r w:rsidRPr="001A57C5">
        <w:rPr>
          <w:rFonts w:ascii="Calibri" w:hAnsi="Calibri" w:cs="Calibri"/>
          <w:sz w:val="24"/>
          <w:szCs w:val="24"/>
        </w:rPr>
        <w:t xml:space="preserve">We are writing in response to </w:t>
      </w:r>
      <w:r w:rsidR="0091632B">
        <w:rPr>
          <w:rFonts w:ascii="Calibri" w:hAnsi="Calibri" w:cs="Calibri"/>
          <w:sz w:val="24"/>
          <w:szCs w:val="24"/>
        </w:rPr>
        <w:t xml:space="preserve">Tennessee’s proposed amendment to the </w:t>
      </w:r>
      <w:proofErr w:type="spellStart"/>
      <w:r w:rsidR="0091632B">
        <w:rPr>
          <w:rFonts w:ascii="Calibri" w:hAnsi="Calibri" w:cs="Calibri"/>
          <w:sz w:val="24"/>
          <w:szCs w:val="24"/>
        </w:rPr>
        <w:t>TennCare</w:t>
      </w:r>
      <w:proofErr w:type="spellEnd"/>
      <w:r w:rsidR="0091632B">
        <w:rPr>
          <w:rFonts w:ascii="Calibri" w:hAnsi="Calibri" w:cs="Calibri"/>
          <w:sz w:val="24"/>
          <w:szCs w:val="24"/>
        </w:rPr>
        <w:t xml:space="preserve"> Demonstration, </w:t>
      </w:r>
      <w:proofErr w:type="spellStart"/>
      <w:r w:rsidR="0091632B">
        <w:rPr>
          <w:rFonts w:ascii="Calibri" w:hAnsi="Calibri" w:cs="Calibri"/>
          <w:sz w:val="24"/>
          <w:szCs w:val="24"/>
        </w:rPr>
        <w:t>TennCare</w:t>
      </w:r>
      <w:proofErr w:type="spellEnd"/>
      <w:r w:rsidR="0091632B">
        <w:rPr>
          <w:rFonts w:ascii="Calibri" w:hAnsi="Calibri" w:cs="Calibri"/>
          <w:sz w:val="24"/>
          <w:szCs w:val="24"/>
        </w:rPr>
        <w:t xml:space="preserve"> II Demonstration, Amendment 42. </w:t>
      </w:r>
      <w:r w:rsidR="00D666BC">
        <w:rPr>
          <w:rFonts w:ascii="Calibri" w:hAnsi="Calibri" w:cs="Calibri"/>
          <w:sz w:val="24"/>
          <w:szCs w:val="24"/>
        </w:rPr>
        <w:t xml:space="preserve">The waiver requests that CMS allow </w:t>
      </w:r>
      <w:proofErr w:type="spellStart"/>
      <w:r w:rsidR="00D666BC">
        <w:rPr>
          <w:rFonts w:ascii="Calibri" w:hAnsi="Calibri" w:cs="Calibri"/>
          <w:sz w:val="24"/>
          <w:szCs w:val="24"/>
        </w:rPr>
        <w:t>TennCare</w:t>
      </w:r>
      <w:proofErr w:type="spellEnd"/>
      <w:r w:rsidR="00D666BC">
        <w:rPr>
          <w:rFonts w:ascii="Calibri" w:hAnsi="Calibri" w:cs="Calibri"/>
          <w:sz w:val="24"/>
          <w:szCs w:val="24"/>
        </w:rPr>
        <w:t xml:space="preserve"> to adopt a commercial-style closed formulary, which </w:t>
      </w:r>
      <w:r w:rsidR="00043E11">
        <w:rPr>
          <w:rFonts w:ascii="Calibri" w:hAnsi="Calibri" w:cs="Calibri"/>
          <w:sz w:val="24"/>
          <w:szCs w:val="24"/>
        </w:rPr>
        <w:t>may</w:t>
      </w:r>
      <w:r w:rsidR="00D666BC">
        <w:rPr>
          <w:rFonts w:ascii="Calibri" w:hAnsi="Calibri" w:cs="Calibri"/>
          <w:sz w:val="24"/>
          <w:szCs w:val="24"/>
        </w:rPr>
        <w:t xml:space="preserve"> cover only one drug in each therapeutic </w:t>
      </w:r>
      <w:proofErr w:type="gramStart"/>
      <w:r w:rsidR="00D666BC">
        <w:rPr>
          <w:rFonts w:ascii="Calibri" w:hAnsi="Calibri" w:cs="Calibri"/>
          <w:sz w:val="24"/>
          <w:szCs w:val="24"/>
        </w:rPr>
        <w:t>area, and</w:t>
      </w:r>
      <w:proofErr w:type="gramEnd"/>
      <w:r w:rsidR="00D666BC">
        <w:rPr>
          <w:rFonts w:ascii="Calibri" w:hAnsi="Calibri" w:cs="Calibri"/>
          <w:sz w:val="24"/>
          <w:szCs w:val="24"/>
        </w:rPr>
        <w:t xml:space="preserve"> opens the door </w:t>
      </w:r>
      <w:r w:rsidR="00F54E2E">
        <w:rPr>
          <w:rFonts w:ascii="Calibri" w:hAnsi="Calibri" w:cs="Calibri"/>
          <w:sz w:val="24"/>
          <w:szCs w:val="24"/>
        </w:rPr>
        <w:t xml:space="preserve">to </w:t>
      </w:r>
      <w:r w:rsidR="00D666BC">
        <w:rPr>
          <w:rFonts w:ascii="Calibri" w:hAnsi="Calibri" w:cs="Calibri"/>
          <w:sz w:val="24"/>
          <w:szCs w:val="24"/>
        </w:rPr>
        <w:t xml:space="preserve">the controversial method of evaluating the “value” of a treatment using cost-effectiveness analyses. The affordability of health care is a significant priority for patients and people with disabilities, and we applaud efforts to reduce the cost of care. Yet, we are concerned this proposal will lead to limited access and ultimately prevent patients and people with disabilities from receiving the care they need. </w:t>
      </w:r>
    </w:p>
    <w:p w14:paraId="0072CC64" w14:textId="14D045D0" w:rsidR="00D666BC" w:rsidRDefault="00D666BC" w:rsidP="00414128">
      <w:pPr>
        <w:rPr>
          <w:rFonts w:ascii="Calibri" w:hAnsi="Calibri" w:cs="Calibri"/>
          <w:sz w:val="24"/>
          <w:szCs w:val="24"/>
        </w:rPr>
      </w:pPr>
      <w:r>
        <w:rPr>
          <w:rFonts w:ascii="Calibri" w:hAnsi="Calibri" w:cs="Calibri"/>
          <w:sz w:val="24"/>
          <w:szCs w:val="24"/>
        </w:rPr>
        <w:t xml:space="preserve">It is well documented that, in many cases, different patients react differently to the same drug. Some patients cannot tolerate or do not benefit from one drug in a therapeutic class, and therefore need an alternative that may be restricted under this new policy. Restricting access to one drug per class is especially dangerous for certain conditions where treatment failure could lead to serious consequences and costly adverse events. </w:t>
      </w:r>
    </w:p>
    <w:p w14:paraId="10576DF0" w14:textId="77777777" w:rsidR="00F54E2E" w:rsidRDefault="008B1633" w:rsidP="00414128">
      <w:pPr>
        <w:rPr>
          <w:rFonts w:ascii="Calibri" w:hAnsi="Calibri" w:cs="Calibri"/>
          <w:sz w:val="24"/>
          <w:szCs w:val="24"/>
        </w:rPr>
      </w:pPr>
      <w:r>
        <w:rPr>
          <w:rFonts w:ascii="Calibri" w:hAnsi="Calibri" w:cs="Calibri"/>
          <w:sz w:val="24"/>
          <w:szCs w:val="24"/>
        </w:rPr>
        <w:t xml:space="preserve">The waiver would also allow </w:t>
      </w:r>
      <w:proofErr w:type="spellStart"/>
      <w:r>
        <w:rPr>
          <w:rFonts w:ascii="Calibri" w:hAnsi="Calibri" w:cs="Calibri"/>
          <w:sz w:val="24"/>
          <w:szCs w:val="24"/>
        </w:rPr>
        <w:t>TennCare</w:t>
      </w:r>
      <w:proofErr w:type="spellEnd"/>
      <w:r>
        <w:rPr>
          <w:rFonts w:ascii="Calibri" w:hAnsi="Calibri" w:cs="Calibri"/>
          <w:sz w:val="24"/>
          <w:szCs w:val="24"/>
        </w:rPr>
        <w:t xml:space="preserve"> to exclude drugs coming to market through the FDA’s accelerated approval pathway until market prices are consistent or sufficient data exist regarding the </w:t>
      </w:r>
      <w:r w:rsidR="00043E11">
        <w:rPr>
          <w:rFonts w:ascii="Calibri" w:hAnsi="Calibri" w:cs="Calibri"/>
          <w:sz w:val="24"/>
          <w:szCs w:val="24"/>
        </w:rPr>
        <w:t>“</w:t>
      </w:r>
      <w:r>
        <w:rPr>
          <w:rFonts w:ascii="Calibri" w:hAnsi="Calibri" w:cs="Calibri"/>
          <w:sz w:val="24"/>
          <w:szCs w:val="24"/>
        </w:rPr>
        <w:t>cost-effectiveness</w:t>
      </w:r>
      <w:r w:rsidR="00043E11">
        <w:rPr>
          <w:rFonts w:ascii="Calibri" w:hAnsi="Calibri" w:cs="Calibri"/>
          <w:sz w:val="24"/>
          <w:szCs w:val="24"/>
        </w:rPr>
        <w:t>”</w:t>
      </w:r>
      <w:r>
        <w:rPr>
          <w:rFonts w:ascii="Calibri" w:hAnsi="Calibri" w:cs="Calibri"/>
          <w:sz w:val="24"/>
          <w:szCs w:val="24"/>
        </w:rPr>
        <w:t xml:space="preserve"> of a drug. The waiver does not preclude the state from determining cost-effectiveness of drugs using </w:t>
      </w:r>
      <w:r w:rsidRPr="00A64943">
        <w:rPr>
          <w:rFonts w:ascii="Calibri" w:hAnsi="Calibri" w:cs="Calibri"/>
          <w:sz w:val="23"/>
          <w:szCs w:val="23"/>
        </w:rPr>
        <w:t xml:space="preserve">existing value assessment practices, which rely on the discriminatory Quality-Adjusted Life Year (QALY) metric. </w:t>
      </w:r>
      <w:r w:rsidR="00414128" w:rsidRPr="001A57C5">
        <w:rPr>
          <w:rFonts w:ascii="Calibri" w:hAnsi="Calibri" w:cs="Calibri"/>
          <w:sz w:val="24"/>
          <w:szCs w:val="24"/>
        </w:rPr>
        <w:t>As you know, the patient and disability communities have long had concerns about the use of the</w:t>
      </w:r>
      <w:r w:rsidR="00D73C24" w:rsidRPr="001A57C5">
        <w:rPr>
          <w:rFonts w:ascii="Calibri" w:hAnsi="Calibri" w:cs="Calibri"/>
          <w:sz w:val="24"/>
          <w:szCs w:val="24"/>
        </w:rPr>
        <w:t xml:space="preserve"> </w:t>
      </w:r>
      <w:r w:rsidR="00E62A3B" w:rsidRPr="001A57C5">
        <w:rPr>
          <w:rFonts w:ascii="Calibri" w:hAnsi="Calibri" w:cs="Calibri"/>
          <w:sz w:val="24"/>
          <w:szCs w:val="24"/>
        </w:rPr>
        <w:t xml:space="preserve">discriminatory </w:t>
      </w:r>
      <w:r w:rsidR="00D73C24" w:rsidRPr="001A57C5">
        <w:rPr>
          <w:rFonts w:ascii="Calibri" w:hAnsi="Calibri" w:cs="Calibri"/>
          <w:sz w:val="24"/>
          <w:szCs w:val="24"/>
        </w:rPr>
        <w:t>Quality-Adjusted Life Year (QALY)</w:t>
      </w:r>
      <w:r w:rsidR="00E8447C" w:rsidRPr="001A57C5">
        <w:rPr>
          <w:rFonts w:ascii="Calibri" w:hAnsi="Calibri" w:cs="Calibri"/>
          <w:sz w:val="24"/>
          <w:szCs w:val="24"/>
        </w:rPr>
        <w:t xml:space="preserve"> to determine cost effectiveness or “value” of treatments</w:t>
      </w:r>
      <w:r w:rsidR="00414128" w:rsidRPr="001A57C5">
        <w:rPr>
          <w:rFonts w:ascii="Calibri" w:hAnsi="Calibri" w:cs="Calibri"/>
          <w:sz w:val="24"/>
          <w:szCs w:val="24"/>
        </w:rPr>
        <w:t xml:space="preserve">.  QALYs and similar metrics are referenced </w:t>
      </w:r>
      <w:r w:rsidR="00E24222" w:rsidRPr="001A57C5">
        <w:rPr>
          <w:rFonts w:ascii="Calibri" w:hAnsi="Calibri" w:cs="Calibri"/>
          <w:sz w:val="24"/>
          <w:szCs w:val="24"/>
        </w:rPr>
        <w:t xml:space="preserve">in </w:t>
      </w:r>
      <w:r w:rsidR="00E8447C" w:rsidRPr="001A57C5">
        <w:rPr>
          <w:rFonts w:ascii="Calibri" w:hAnsi="Calibri" w:cs="Calibri"/>
          <w:sz w:val="24"/>
          <w:szCs w:val="24"/>
        </w:rPr>
        <w:t>other</w:t>
      </w:r>
      <w:r w:rsidR="00E24222" w:rsidRPr="001A57C5">
        <w:rPr>
          <w:rFonts w:ascii="Calibri" w:hAnsi="Calibri" w:cs="Calibri"/>
          <w:sz w:val="24"/>
          <w:szCs w:val="24"/>
        </w:rPr>
        <w:t xml:space="preserve"> countries and </w:t>
      </w:r>
      <w:r w:rsidR="00E8447C" w:rsidRPr="001A57C5">
        <w:rPr>
          <w:rFonts w:ascii="Calibri" w:hAnsi="Calibri" w:cs="Calibri"/>
          <w:sz w:val="24"/>
          <w:szCs w:val="24"/>
        </w:rPr>
        <w:t xml:space="preserve">in studies </w:t>
      </w:r>
      <w:r w:rsidR="00E24222" w:rsidRPr="001A57C5">
        <w:rPr>
          <w:rFonts w:ascii="Calibri" w:hAnsi="Calibri" w:cs="Calibri"/>
          <w:sz w:val="24"/>
          <w:szCs w:val="24"/>
        </w:rPr>
        <w:t>by independent third</w:t>
      </w:r>
      <w:r w:rsidR="00E62A3B" w:rsidRPr="001A57C5">
        <w:rPr>
          <w:rFonts w:ascii="Calibri" w:hAnsi="Calibri" w:cs="Calibri"/>
          <w:sz w:val="24"/>
          <w:szCs w:val="24"/>
        </w:rPr>
        <w:t xml:space="preserve"> </w:t>
      </w:r>
      <w:r w:rsidR="00E24222" w:rsidRPr="001A57C5">
        <w:rPr>
          <w:rFonts w:ascii="Calibri" w:hAnsi="Calibri" w:cs="Calibri"/>
          <w:sz w:val="24"/>
          <w:szCs w:val="24"/>
        </w:rPr>
        <w:t>parties</w:t>
      </w:r>
      <w:r w:rsidR="00E62A3B" w:rsidRPr="001A57C5">
        <w:rPr>
          <w:rFonts w:ascii="Calibri" w:hAnsi="Calibri" w:cs="Calibri"/>
          <w:sz w:val="24"/>
          <w:szCs w:val="24"/>
        </w:rPr>
        <w:t>,</w:t>
      </w:r>
      <w:r w:rsidR="00E24222" w:rsidRPr="001A57C5">
        <w:rPr>
          <w:rFonts w:ascii="Calibri" w:hAnsi="Calibri" w:cs="Calibri"/>
          <w:sz w:val="24"/>
          <w:szCs w:val="24"/>
        </w:rPr>
        <w:t xml:space="preserve"> </w:t>
      </w:r>
      <w:r w:rsidR="00E8447C" w:rsidRPr="001A57C5">
        <w:rPr>
          <w:rFonts w:ascii="Calibri" w:hAnsi="Calibri" w:cs="Calibri"/>
          <w:sz w:val="24"/>
          <w:szCs w:val="24"/>
        </w:rPr>
        <w:t xml:space="preserve">such as </w:t>
      </w:r>
      <w:r w:rsidR="00F54E2E">
        <w:rPr>
          <w:rFonts w:ascii="Calibri" w:hAnsi="Calibri" w:cs="Calibri"/>
          <w:sz w:val="24"/>
          <w:szCs w:val="24"/>
        </w:rPr>
        <w:t>the Institute for Clinical Economic Review (ICER)</w:t>
      </w:r>
      <w:r w:rsidR="00E24222" w:rsidRPr="001A57C5">
        <w:rPr>
          <w:rFonts w:ascii="Calibri" w:hAnsi="Calibri" w:cs="Calibri"/>
          <w:sz w:val="24"/>
          <w:szCs w:val="24"/>
        </w:rPr>
        <w:t xml:space="preserve">. </w:t>
      </w:r>
    </w:p>
    <w:p w14:paraId="78A2DFA2" w14:textId="67FF6D41" w:rsidR="00C07545" w:rsidRPr="001A57C5" w:rsidRDefault="00C07545" w:rsidP="00414128">
      <w:pPr>
        <w:rPr>
          <w:sz w:val="24"/>
          <w:szCs w:val="24"/>
        </w:rPr>
      </w:pPr>
      <w:r w:rsidRPr="001A57C5">
        <w:rPr>
          <w:rFonts w:ascii="Calibri" w:hAnsi="Calibri" w:cs="Calibri"/>
          <w:sz w:val="24"/>
          <w:szCs w:val="24"/>
        </w:rPr>
        <w:t xml:space="preserve">The National Council on Disability (NCD), an independent federal agency, </w:t>
      </w:r>
      <w:r w:rsidR="00414128" w:rsidRPr="001A57C5">
        <w:rPr>
          <w:rFonts w:ascii="Calibri" w:hAnsi="Calibri" w:cs="Calibri"/>
          <w:sz w:val="24"/>
          <w:szCs w:val="24"/>
        </w:rPr>
        <w:t>recently c</w:t>
      </w:r>
      <w:r w:rsidRPr="001A57C5">
        <w:rPr>
          <w:rFonts w:ascii="Calibri" w:hAnsi="Calibri" w:cs="Calibri"/>
          <w:sz w:val="24"/>
          <w:szCs w:val="24"/>
        </w:rPr>
        <w:t>onclude</w:t>
      </w:r>
      <w:r w:rsidR="00414128" w:rsidRPr="001A57C5">
        <w:rPr>
          <w:rFonts w:ascii="Calibri" w:hAnsi="Calibri" w:cs="Calibri"/>
          <w:sz w:val="24"/>
          <w:szCs w:val="24"/>
        </w:rPr>
        <w:t>d</w:t>
      </w:r>
      <w:r w:rsidRPr="001A57C5">
        <w:rPr>
          <w:rFonts w:ascii="Calibri" w:hAnsi="Calibri" w:cs="Calibri"/>
          <w:sz w:val="24"/>
          <w:szCs w:val="24"/>
        </w:rPr>
        <w:t xml:space="preserve"> that QALYs place a lower value on treatments which extend the lives of people with chronic illnesses and disabilities. NCD recommend</w:t>
      </w:r>
      <w:r w:rsidR="00414128" w:rsidRPr="001A57C5">
        <w:rPr>
          <w:rFonts w:ascii="Calibri" w:hAnsi="Calibri" w:cs="Calibri"/>
          <w:sz w:val="24"/>
          <w:szCs w:val="24"/>
        </w:rPr>
        <w:t>ed that</w:t>
      </w:r>
      <w:r w:rsidRPr="001A57C5">
        <w:rPr>
          <w:rFonts w:ascii="Calibri" w:hAnsi="Calibri" w:cs="Calibri"/>
          <w:sz w:val="24"/>
          <w:szCs w:val="24"/>
        </w:rPr>
        <w:t xml:space="preserve"> policymakers and insurers reject QALYs as a method of measuring cost-effectiveness for medical care </w:t>
      </w:r>
      <w:r w:rsidR="00414128" w:rsidRPr="001A57C5">
        <w:rPr>
          <w:rFonts w:ascii="Calibri" w:hAnsi="Calibri" w:cs="Calibri"/>
          <w:sz w:val="24"/>
          <w:szCs w:val="24"/>
        </w:rPr>
        <w:t>and avoid referencing international pricing due to its reliance on QALYs</w:t>
      </w:r>
      <w:r w:rsidRPr="001A57C5">
        <w:rPr>
          <w:rFonts w:ascii="Calibri" w:hAnsi="Calibri" w:cs="Calibri"/>
          <w:sz w:val="24"/>
          <w:szCs w:val="24"/>
        </w:rPr>
        <w:t>.</w:t>
      </w:r>
      <w:r w:rsidR="00414128" w:rsidRPr="001A57C5">
        <w:rPr>
          <w:rStyle w:val="FootnoteReference"/>
          <w:rFonts w:ascii="Calibri" w:hAnsi="Calibri" w:cs="Calibri"/>
          <w:sz w:val="24"/>
          <w:szCs w:val="24"/>
        </w:rPr>
        <w:footnoteReference w:id="1"/>
      </w:r>
      <w:r w:rsidR="00F54E2E">
        <w:rPr>
          <w:rFonts w:ascii="Calibri" w:hAnsi="Calibri" w:cs="Calibri"/>
          <w:sz w:val="24"/>
          <w:szCs w:val="24"/>
        </w:rPr>
        <w:t xml:space="preserve"> In fact, NCD recommends that the use of QALYs be barred from use in Medicaid programs.</w:t>
      </w:r>
    </w:p>
    <w:p w14:paraId="18629E10" w14:textId="0182FAE6" w:rsidR="00D73C24" w:rsidRDefault="00414128" w:rsidP="00CA4B7F">
      <w:pPr>
        <w:rPr>
          <w:sz w:val="24"/>
          <w:szCs w:val="24"/>
        </w:rPr>
      </w:pPr>
      <w:r w:rsidRPr="001A57C5">
        <w:rPr>
          <w:sz w:val="24"/>
          <w:szCs w:val="24"/>
        </w:rPr>
        <w:lastRenderedPageBreak/>
        <w:t>Historically, the</w:t>
      </w:r>
      <w:r w:rsidR="00D73C24" w:rsidRPr="001A57C5">
        <w:rPr>
          <w:sz w:val="24"/>
          <w:szCs w:val="24"/>
        </w:rPr>
        <w:t xml:space="preserve"> QALY has been opposed by the American public and policy makers. </w:t>
      </w:r>
      <w:r w:rsidR="00CA4B7F" w:rsidRPr="001A57C5">
        <w:rPr>
          <w:sz w:val="24"/>
          <w:szCs w:val="24"/>
        </w:rPr>
        <w:t>In fact, t</w:t>
      </w:r>
      <w:r w:rsidR="00D73C24" w:rsidRPr="001A57C5">
        <w:rPr>
          <w:sz w:val="24"/>
          <w:szCs w:val="24"/>
        </w:rPr>
        <w:t>here is currently a ban on use of the QALY or similar metrics in Medicare.</w:t>
      </w:r>
      <w:r w:rsidR="00631A91" w:rsidRPr="001A57C5">
        <w:rPr>
          <w:rStyle w:val="FootnoteReference"/>
          <w:sz w:val="24"/>
          <w:szCs w:val="24"/>
        </w:rPr>
        <w:footnoteReference w:id="2"/>
      </w:r>
      <w:r w:rsidR="00CA4B7F" w:rsidRPr="001A57C5">
        <w:rPr>
          <w:sz w:val="24"/>
          <w:szCs w:val="24"/>
        </w:rPr>
        <w:t xml:space="preserve">  </w:t>
      </w:r>
      <w:r w:rsidR="00D73C24" w:rsidRPr="001A57C5">
        <w:rPr>
          <w:sz w:val="24"/>
          <w:szCs w:val="24"/>
        </w:rPr>
        <w:t>In 1992</w:t>
      </w:r>
      <w:r w:rsidR="00CA4B7F" w:rsidRPr="001A57C5">
        <w:rPr>
          <w:sz w:val="24"/>
          <w:szCs w:val="24"/>
        </w:rPr>
        <w:t>,</w:t>
      </w:r>
      <w:r w:rsidR="00D73C24" w:rsidRPr="001A57C5">
        <w:rPr>
          <w:sz w:val="24"/>
          <w:szCs w:val="24"/>
        </w:rPr>
        <w:t xml:space="preserve"> </w:t>
      </w:r>
      <w:r w:rsidR="00C07545" w:rsidRPr="001A57C5">
        <w:rPr>
          <w:sz w:val="24"/>
          <w:szCs w:val="24"/>
        </w:rPr>
        <w:t>a Republican</w:t>
      </w:r>
      <w:r w:rsidR="00D73C24" w:rsidRPr="001A57C5">
        <w:rPr>
          <w:sz w:val="24"/>
          <w:szCs w:val="24"/>
        </w:rPr>
        <w:t xml:space="preserve"> administration established that Oregon’s efforts to utilize a cost-effectiveness standard in Medicaid would violate the Americans with Disabilities Act</w:t>
      </w:r>
      <w:r w:rsidR="00F54E2E">
        <w:rPr>
          <w:sz w:val="24"/>
          <w:szCs w:val="24"/>
        </w:rPr>
        <w:t xml:space="preserve"> (ADA)</w:t>
      </w:r>
      <w:r w:rsidR="00A66D22" w:rsidRPr="001A57C5">
        <w:rPr>
          <w:sz w:val="24"/>
          <w:szCs w:val="24"/>
        </w:rPr>
        <w:t>.</w:t>
      </w:r>
      <w:r w:rsidR="00631A91" w:rsidRPr="001A57C5">
        <w:rPr>
          <w:rStyle w:val="FootnoteReference"/>
          <w:sz w:val="24"/>
          <w:szCs w:val="24"/>
        </w:rPr>
        <w:footnoteReference w:id="3"/>
      </w:r>
      <w:r w:rsidR="00CA4B7F" w:rsidRPr="001A57C5">
        <w:rPr>
          <w:sz w:val="24"/>
          <w:szCs w:val="24"/>
        </w:rPr>
        <w:t xml:space="preserve"> Therefore, we have concerns that this metric is creeping into our state’s health system.  </w:t>
      </w:r>
    </w:p>
    <w:p w14:paraId="3A5537C8" w14:textId="5FAFC0FA" w:rsidR="00E24222" w:rsidRPr="001A57C5" w:rsidRDefault="008B1633" w:rsidP="00CA4B7F">
      <w:pPr>
        <w:rPr>
          <w:sz w:val="24"/>
          <w:szCs w:val="24"/>
        </w:rPr>
      </w:pPr>
      <w:r>
        <w:rPr>
          <w:sz w:val="24"/>
          <w:szCs w:val="24"/>
        </w:rPr>
        <w:t xml:space="preserve">The ability to exclude new drugs coming to market through the FDA’s accelerated approval pathway would primarily impact drugs for rare conditions </w:t>
      </w:r>
      <w:r w:rsidR="00F54E2E">
        <w:rPr>
          <w:sz w:val="24"/>
          <w:szCs w:val="24"/>
        </w:rPr>
        <w:t xml:space="preserve">and disabling conditions </w:t>
      </w:r>
      <w:r>
        <w:rPr>
          <w:sz w:val="24"/>
          <w:szCs w:val="24"/>
        </w:rPr>
        <w:t xml:space="preserve">for which there are currently no or few approved treatments, which would leave some of Tennessee’s most vulnerable without care. This model is very similar to how many other nations run their health care systems, including the U.K and Canada. </w:t>
      </w:r>
      <w:r w:rsidR="00CA4B7F" w:rsidRPr="001A57C5">
        <w:rPr>
          <w:sz w:val="24"/>
          <w:szCs w:val="24"/>
        </w:rPr>
        <w:t>We know that p</w:t>
      </w:r>
      <w:r w:rsidR="00E24222" w:rsidRPr="001A57C5">
        <w:rPr>
          <w:sz w:val="24"/>
          <w:szCs w:val="24"/>
        </w:rPr>
        <w:t>atients and people with disabilities in the</w:t>
      </w:r>
      <w:r>
        <w:rPr>
          <w:sz w:val="24"/>
          <w:szCs w:val="24"/>
        </w:rPr>
        <w:t>se</w:t>
      </w:r>
      <w:r w:rsidR="00E24222" w:rsidRPr="001A57C5">
        <w:rPr>
          <w:sz w:val="24"/>
          <w:szCs w:val="24"/>
        </w:rPr>
        <w:t xml:space="preserve"> countries frequently experience delayed or lack of access to medications they need. Only 39% of medicines launched globally between 2008 and 2012 were available in Canada in 2013, and 38% of medicines to treat orphan conditions were rejected for coverage in Canada.</w:t>
      </w:r>
      <w:r w:rsidR="00631A91" w:rsidRPr="001A57C5">
        <w:rPr>
          <w:rStyle w:val="FootnoteReference"/>
          <w:sz w:val="24"/>
          <w:szCs w:val="24"/>
        </w:rPr>
        <w:footnoteReference w:id="4"/>
      </w:r>
      <w:r w:rsidR="00E24222" w:rsidRPr="001A57C5">
        <w:rPr>
          <w:sz w:val="24"/>
          <w:szCs w:val="24"/>
        </w:rPr>
        <w:t xml:space="preserve"> Between 2007 and 2017, nearly 80% of cancer treatments reviewed by U.K. health officials had some form of access restriction.</w:t>
      </w:r>
      <w:r w:rsidR="00631A91" w:rsidRPr="001A57C5">
        <w:rPr>
          <w:rStyle w:val="FootnoteReference"/>
          <w:sz w:val="24"/>
          <w:szCs w:val="24"/>
        </w:rPr>
        <w:footnoteReference w:id="5"/>
      </w:r>
      <w:r w:rsidR="00E24222" w:rsidRPr="001A57C5">
        <w:rPr>
          <w:sz w:val="24"/>
          <w:szCs w:val="24"/>
        </w:rPr>
        <w:t xml:space="preserve"> </w:t>
      </w:r>
    </w:p>
    <w:p w14:paraId="3E6834CA" w14:textId="22518B20" w:rsidR="00631A91" w:rsidRPr="001A57C5" w:rsidRDefault="00695903" w:rsidP="00CA4B7F">
      <w:pPr>
        <w:rPr>
          <w:rFonts w:ascii="Calibri" w:hAnsi="Calibri" w:cs="Calibri"/>
          <w:sz w:val="24"/>
          <w:szCs w:val="24"/>
        </w:rPr>
      </w:pPr>
      <w:r>
        <w:rPr>
          <w:rFonts w:ascii="Calibri" w:hAnsi="Calibri" w:cs="Calibri"/>
          <w:sz w:val="24"/>
          <w:szCs w:val="24"/>
        </w:rPr>
        <w:t xml:space="preserve">Our goal is for </w:t>
      </w:r>
      <w:proofErr w:type="spellStart"/>
      <w:r w:rsidR="00F54E2E">
        <w:rPr>
          <w:rFonts w:ascii="Calibri" w:hAnsi="Calibri" w:cs="Calibri"/>
          <w:sz w:val="24"/>
          <w:szCs w:val="24"/>
        </w:rPr>
        <w:t>TennCare</w:t>
      </w:r>
      <w:proofErr w:type="spellEnd"/>
      <w:r>
        <w:rPr>
          <w:rFonts w:ascii="Calibri" w:hAnsi="Calibri" w:cs="Calibri"/>
          <w:sz w:val="24"/>
          <w:szCs w:val="24"/>
        </w:rPr>
        <w:t xml:space="preserve"> to be centered on the needs, outcomes, and priorities of patients and people with disabilities; therefore, w</w:t>
      </w:r>
      <w:r w:rsidR="00CA4B7F" w:rsidRPr="001A57C5">
        <w:rPr>
          <w:rFonts w:ascii="Calibri" w:hAnsi="Calibri" w:cs="Calibri"/>
          <w:sz w:val="24"/>
          <w:szCs w:val="24"/>
        </w:rPr>
        <w:t>e oppose o</w:t>
      </w:r>
      <w:r w:rsidR="00E62A3B" w:rsidRPr="001A57C5">
        <w:rPr>
          <w:rFonts w:ascii="Calibri" w:hAnsi="Calibri" w:cs="Calibri"/>
          <w:sz w:val="24"/>
          <w:szCs w:val="24"/>
        </w:rPr>
        <w:t>pen</w:t>
      </w:r>
      <w:r w:rsidR="00CA4B7F" w:rsidRPr="001A57C5">
        <w:rPr>
          <w:rFonts w:ascii="Calibri" w:hAnsi="Calibri" w:cs="Calibri"/>
          <w:sz w:val="24"/>
          <w:szCs w:val="24"/>
        </w:rPr>
        <w:t>ing</w:t>
      </w:r>
      <w:r w:rsidR="00E62A3B" w:rsidRPr="001A57C5">
        <w:rPr>
          <w:rFonts w:ascii="Calibri" w:hAnsi="Calibri" w:cs="Calibri"/>
          <w:sz w:val="24"/>
          <w:szCs w:val="24"/>
        </w:rPr>
        <w:t xml:space="preserve"> </w:t>
      </w:r>
      <w:r w:rsidR="00C07545" w:rsidRPr="001A57C5">
        <w:rPr>
          <w:rFonts w:ascii="Calibri" w:hAnsi="Calibri" w:cs="Calibri"/>
          <w:sz w:val="24"/>
          <w:szCs w:val="24"/>
        </w:rPr>
        <w:t xml:space="preserve">the door </w:t>
      </w:r>
      <w:r w:rsidR="00631A91" w:rsidRPr="001A57C5">
        <w:rPr>
          <w:rFonts w:ascii="Calibri" w:hAnsi="Calibri" w:cs="Calibri"/>
          <w:sz w:val="24"/>
          <w:szCs w:val="24"/>
        </w:rPr>
        <w:t xml:space="preserve">in </w:t>
      </w:r>
      <w:r w:rsidR="008B1633">
        <w:rPr>
          <w:rFonts w:ascii="Calibri" w:hAnsi="Calibri" w:cs="Calibri"/>
          <w:sz w:val="24"/>
          <w:szCs w:val="24"/>
        </w:rPr>
        <w:t>Tennessee</w:t>
      </w:r>
      <w:r w:rsidR="00631A91" w:rsidRPr="001A57C5">
        <w:rPr>
          <w:rFonts w:ascii="Calibri" w:hAnsi="Calibri" w:cs="Calibri"/>
          <w:sz w:val="24"/>
          <w:szCs w:val="24"/>
        </w:rPr>
        <w:t xml:space="preserve"> </w:t>
      </w:r>
      <w:r w:rsidR="00A66D22" w:rsidRPr="001A57C5">
        <w:rPr>
          <w:rFonts w:ascii="Calibri" w:hAnsi="Calibri" w:cs="Calibri"/>
          <w:sz w:val="24"/>
          <w:szCs w:val="24"/>
        </w:rPr>
        <w:t xml:space="preserve">to </w:t>
      </w:r>
      <w:r>
        <w:rPr>
          <w:rFonts w:ascii="Calibri" w:hAnsi="Calibri" w:cs="Calibri"/>
          <w:sz w:val="24"/>
          <w:szCs w:val="24"/>
        </w:rPr>
        <w:t xml:space="preserve">limited formularies and </w:t>
      </w:r>
      <w:r w:rsidR="00E62A3B" w:rsidRPr="001A57C5">
        <w:rPr>
          <w:rFonts w:ascii="Calibri" w:hAnsi="Calibri" w:cs="Calibri"/>
          <w:sz w:val="24"/>
          <w:szCs w:val="24"/>
        </w:rPr>
        <w:t xml:space="preserve">the use of </w:t>
      </w:r>
      <w:r w:rsidR="00A66D22" w:rsidRPr="001A57C5">
        <w:rPr>
          <w:rFonts w:ascii="Calibri" w:hAnsi="Calibri" w:cs="Calibri"/>
          <w:sz w:val="24"/>
          <w:szCs w:val="24"/>
        </w:rPr>
        <w:t>cost</w:t>
      </w:r>
      <w:r w:rsidR="00C07545" w:rsidRPr="001A57C5">
        <w:rPr>
          <w:rFonts w:ascii="Calibri" w:hAnsi="Calibri" w:cs="Calibri"/>
          <w:sz w:val="24"/>
          <w:szCs w:val="24"/>
        </w:rPr>
        <w:t xml:space="preserve">-effectiveness analyses </w:t>
      </w:r>
      <w:r w:rsidR="00E62A3B" w:rsidRPr="001A57C5">
        <w:rPr>
          <w:rFonts w:ascii="Calibri" w:hAnsi="Calibri" w:cs="Calibri"/>
          <w:sz w:val="24"/>
          <w:szCs w:val="24"/>
        </w:rPr>
        <w:t>based on</w:t>
      </w:r>
      <w:r w:rsidR="00C07545" w:rsidRPr="001A57C5">
        <w:rPr>
          <w:rFonts w:ascii="Calibri" w:hAnsi="Calibri" w:cs="Calibri"/>
          <w:sz w:val="24"/>
          <w:szCs w:val="24"/>
        </w:rPr>
        <w:t xml:space="preserve"> the QALY and similar metrics</w:t>
      </w:r>
      <w:r w:rsidR="00E62A3B" w:rsidRPr="001A57C5">
        <w:rPr>
          <w:rFonts w:ascii="Calibri" w:hAnsi="Calibri" w:cs="Calibri"/>
          <w:sz w:val="24"/>
          <w:szCs w:val="24"/>
        </w:rPr>
        <w:t>, which would lead to discriminat</w:t>
      </w:r>
      <w:r w:rsidR="00CA4B7F" w:rsidRPr="001A57C5">
        <w:rPr>
          <w:rFonts w:ascii="Calibri" w:hAnsi="Calibri" w:cs="Calibri"/>
          <w:sz w:val="24"/>
          <w:szCs w:val="24"/>
        </w:rPr>
        <w:t>ion and</w:t>
      </w:r>
      <w:r w:rsidR="00E62A3B" w:rsidRPr="001A57C5">
        <w:rPr>
          <w:rFonts w:ascii="Calibri" w:hAnsi="Calibri" w:cs="Calibri"/>
          <w:sz w:val="24"/>
          <w:szCs w:val="24"/>
        </w:rPr>
        <w:t xml:space="preserve"> restricted access to care. </w:t>
      </w:r>
      <w:r w:rsidR="00C07545" w:rsidRPr="001A57C5">
        <w:rPr>
          <w:rFonts w:ascii="Calibri" w:hAnsi="Calibri" w:cs="Calibri"/>
          <w:sz w:val="24"/>
          <w:szCs w:val="24"/>
        </w:rPr>
        <w:t xml:space="preserve"> </w:t>
      </w:r>
      <w:r w:rsidR="00CA4B7F" w:rsidRPr="001A57C5">
        <w:rPr>
          <w:rFonts w:ascii="Calibri" w:hAnsi="Calibri" w:cs="Calibri"/>
          <w:sz w:val="24"/>
          <w:szCs w:val="24"/>
        </w:rPr>
        <w:t>We urge you to review carefully the recent NCD report raising concerns about the potential implications of use of QALYs under the ADA</w:t>
      </w:r>
      <w:r w:rsidR="00631A91" w:rsidRPr="001A57C5">
        <w:rPr>
          <w:rFonts w:ascii="Calibri" w:hAnsi="Calibri" w:cs="Calibri"/>
          <w:sz w:val="24"/>
          <w:szCs w:val="24"/>
        </w:rPr>
        <w:t xml:space="preserve">. </w:t>
      </w:r>
    </w:p>
    <w:p w14:paraId="6C3EAAFC" w14:textId="716A2A9D" w:rsidR="00631A91" w:rsidRPr="001A57C5" w:rsidRDefault="00631A91" w:rsidP="00CA4B7F">
      <w:pPr>
        <w:rPr>
          <w:rFonts w:ascii="Calibri" w:hAnsi="Calibri" w:cs="Calibri"/>
          <w:sz w:val="24"/>
          <w:szCs w:val="24"/>
        </w:rPr>
      </w:pPr>
      <w:r w:rsidRPr="001A57C5">
        <w:rPr>
          <w:rFonts w:ascii="Calibri" w:hAnsi="Calibri" w:cs="Calibri"/>
          <w:sz w:val="24"/>
          <w:szCs w:val="24"/>
        </w:rPr>
        <w:t>Thank you for your consideration.</w:t>
      </w:r>
      <w:r w:rsidR="00CA62D0">
        <w:rPr>
          <w:rFonts w:ascii="Calibri" w:hAnsi="Calibri" w:cs="Calibri"/>
          <w:sz w:val="24"/>
          <w:szCs w:val="24"/>
        </w:rPr>
        <w:t xml:space="preserve"> Please feel free to reach out to Thayer Surette at </w:t>
      </w:r>
      <w:hyperlink r:id="rId7" w:history="1">
        <w:r w:rsidR="00CA62D0" w:rsidRPr="00B12229">
          <w:rPr>
            <w:rStyle w:val="Hyperlink"/>
            <w:rFonts w:ascii="Calibri" w:hAnsi="Calibri" w:cs="Calibri"/>
            <w:sz w:val="24"/>
            <w:szCs w:val="24"/>
          </w:rPr>
          <w:t>thayer@pipcpatients.org</w:t>
        </w:r>
      </w:hyperlink>
      <w:r w:rsidR="00CA62D0">
        <w:rPr>
          <w:rFonts w:ascii="Calibri" w:hAnsi="Calibri" w:cs="Calibri"/>
          <w:sz w:val="24"/>
          <w:szCs w:val="24"/>
        </w:rPr>
        <w:t xml:space="preserve"> or 508-843-1688 with any questions or if you would like to discuss in more depth. </w:t>
      </w:r>
    </w:p>
    <w:p w14:paraId="50F7CAAF" w14:textId="5FB5E7BB" w:rsidR="00631A91" w:rsidRPr="001A57C5" w:rsidRDefault="00631A91" w:rsidP="00CA4B7F">
      <w:pPr>
        <w:rPr>
          <w:rFonts w:ascii="Calibri" w:hAnsi="Calibri" w:cs="Calibri"/>
          <w:sz w:val="24"/>
          <w:szCs w:val="24"/>
        </w:rPr>
      </w:pPr>
      <w:r w:rsidRPr="001A57C5">
        <w:rPr>
          <w:rFonts w:ascii="Calibri" w:hAnsi="Calibri" w:cs="Calibri"/>
          <w:sz w:val="24"/>
          <w:szCs w:val="24"/>
        </w:rPr>
        <w:t>Sincerely,</w:t>
      </w:r>
    </w:p>
    <w:p w14:paraId="78153574" w14:textId="77777777" w:rsidR="00631A91" w:rsidRPr="00CA4B7F" w:rsidRDefault="00631A91" w:rsidP="00CA4B7F">
      <w:pPr>
        <w:rPr>
          <w:sz w:val="24"/>
          <w:szCs w:val="24"/>
        </w:rPr>
      </w:pPr>
    </w:p>
    <w:sectPr w:rsidR="00631A91" w:rsidRPr="00CA4B7F" w:rsidSect="00E62A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B925" w14:textId="77777777" w:rsidR="002A3704" w:rsidRDefault="002A3704" w:rsidP="00414128">
      <w:pPr>
        <w:spacing w:after="0" w:line="240" w:lineRule="auto"/>
      </w:pPr>
      <w:r>
        <w:separator/>
      </w:r>
    </w:p>
  </w:endnote>
  <w:endnote w:type="continuationSeparator" w:id="0">
    <w:p w14:paraId="6F87DA8E" w14:textId="77777777" w:rsidR="002A3704" w:rsidRDefault="002A3704" w:rsidP="0041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4ED70" w14:textId="77777777" w:rsidR="002A3704" w:rsidRDefault="002A3704" w:rsidP="00414128">
      <w:pPr>
        <w:spacing w:after="0" w:line="240" w:lineRule="auto"/>
      </w:pPr>
      <w:r>
        <w:separator/>
      </w:r>
    </w:p>
  </w:footnote>
  <w:footnote w:type="continuationSeparator" w:id="0">
    <w:p w14:paraId="6CE19415" w14:textId="77777777" w:rsidR="002A3704" w:rsidRDefault="002A3704" w:rsidP="00414128">
      <w:pPr>
        <w:spacing w:after="0" w:line="240" w:lineRule="auto"/>
      </w:pPr>
      <w:r>
        <w:continuationSeparator/>
      </w:r>
    </w:p>
  </w:footnote>
  <w:footnote w:id="1">
    <w:p w14:paraId="57B0244E" w14:textId="025EC03E" w:rsidR="00414128" w:rsidRPr="001A57C5" w:rsidRDefault="00414128">
      <w:pPr>
        <w:pStyle w:val="FootnoteText"/>
        <w:rPr>
          <w:rFonts w:cstheme="minorHAnsi"/>
        </w:rPr>
      </w:pPr>
      <w:r w:rsidRPr="001A57C5">
        <w:rPr>
          <w:rStyle w:val="FootnoteReference"/>
          <w:rFonts w:cstheme="minorHAnsi"/>
        </w:rPr>
        <w:footnoteRef/>
      </w:r>
      <w:r w:rsidRPr="001A57C5">
        <w:rPr>
          <w:rFonts w:cstheme="minorHAnsi"/>
        </w:rPr>
        <w:t xml:space="preserve"> </w:t>
      </w:r>
      <w:r w:rsidR="00631A91" w:rsidRPr="001A57C5">
        <w:rPr>
          <w:rFonts w:cstheme="minorHAnsi"/>
        </w:rPr>
        <w:t xml:space="preserve">https://www.ncd.gov/sites/default/files/NCD_Quality_Adjusted_Life_Report_508.pdf </w:t>
      </w:r>
    </w:p>
  </w:footnote>
  <w:footnote w:id="2">
    <w:p w14:paraId="0C25C1D0" w14:textId="18DFF9BC" w:rsidR="00631A91" w:rsidRPr="00F54E2E" w:rsidRDefault="00631A91" w:rsidP="00FC4A6D">
      <w:pPr>
        <w:pStyle w:val="FootnoteText"/>
        <w:rPr>
          <w:rFonts w:cstheme="minorHAnsi"/>
        </w:rPr>
      </w:pPr>
      <w:r w:rsidRPr="001A57C5">
        <w:rPr>
          <w:rStyle w:val="FootnoteReference"/>
          <w:rFonts w:cstheme="minorHAnsi"/>
        </w:rPr>
        <w:footnoteRef/>
      </w:r>
      <w:r w:rsidRPr="001A57C5">
        <w:rPr>
          <w:rFonts w:cstheme="minorHAnsi"/>
        </w:rPr>
        <w:t xml:space="preserve"> 111th Congress of the United States of America. (2010). H.R. 3590 The Patient Protection and Affordable Care Act. </w:t>
      </w:r>
      <w:r w:rsidRPr="001A57C5">
        <w:rPr>
          <w:rFonts w:cstheme="minorHAnsi"/>
          <w:i/>
          <w:iCs/>
        </w:rPr>
        <w:t>Section 1182</w:t>
      </w:r>
      <w:r w:rsidRPr="001A57C5">
        <w:rPr>
          <w:rFonts w:cstheme="minorHAnsi"/>
        </w:rPr>
        <w:t>. Washing</w:t>
      </w:r>
      <w:bookmarkStart w:id="0" w:name="_GoBack"/>
      <w:bookmarkEnd w:id="0"/>
      <w:r w:rsidRPr="001A57C5">
        <w:rPr>
          <w:rFonts w:cstheme="minorHAnsi"/>
        </w:rPr>
        <w:t xml:space="preserve">ton, DC. </w:t>
      </w:r>
    </w:p>
  </w:footnote>
  <w:footnote w:id="3">
    <w:p w14:paraId="15A4E378" w14:textId="0C248493" w:rsidR="00631A91" w:rsidRPr="001A57C5" w:rsidRDefault="00631A91">
      <w:pPr>
        <w:pStyle w:val="FootnoteText"/>
        <w:rPr>
          <w:rFonts w:cstheme="minorHAnsi"/>
        </w:rPr>
      </w:pPr>
      <w:r w:rsidRPr="001A57C5">
        <w:rPr>
          <w:rStyle w:val="FootnoteReference"/>
          <w:rFonts w:cstheme="minorHAnsi"/>
        </w:rPr>
        <w:footnoteRef/>
      </w:r>
      <w:r w:rsidRPr="001A57C5">
        <w:rPr>
          <w:rFonts w:cstheme="minorHAnsi"/>
        </w:rPr>
        <w:t xml:space="preserve"> https://www.nytimes.com/1992/09/01/opinion/l-oregon-health-plan-is-unfair-to-the-disabled-659492.html</w:t>
      </w:r>
    </w:p>
  </w:footnote>
  <w:footnote w:id="4">
    <w:p w14:paraId="4EFE561D" w14:textId="45C22B27" w:rsidR="00631A91" w:rsidRPr="001A57C5" w:rsidRDefault="00631A91">
      <w:pPr>
        <w:pStyle w:val="FootnoteText"/>
        <w:rPr>
          <w:rFonts w:cstheme="minorHAnsi"/>
        </w:rPr>
      </w:pPr>
      <w:r w:rsidRPr="001A57C5">
        <w:rPr>
          <w:rStyle w:val="FootnoteReference"/>
          <w:rFonts w:cstheme="minorHAnsi"/>
        </w:rPr>
        <w:footnoteRef/>
      </w:r>
      <w:r w:rsidRPr="001A57C5">
        <w:rPr>
          <w:rFonts w:cstheme="minorHAnsi"/>
        </w:rPr>
        <w:t xml:space="preserve"> http://www.pipcpatients.org/uploads/1/2/9/0/12902828/pipc_canada.pdf</w:t>
      </w:r>
    </w:p>
  </w:footnote>
  <w:footnote w:id="5">
    <w:p w14:paraId="3DEF9144" w14:textId="77264CC3" w:rsidR="00631A91" w:rsidRPr="001A57C5" w:rsidRDefault="00631A91">
      <w:pPr>
        <w:pStyle w:val="FootnoteText"/>
        <w:rPr>
          <w:rFonts w:cstheme="minorHAnsi"/>
        </w:rPr>
      </w:pPr>
      <w:r w:rsidRPr="001A57C5">
        <w:rPr>
          <w:rStyle w:val="FootnoteReference"/>
          <w:rFonts w:cstheme="minorHAnsi"/>
        </w:rPr>
        <w:footnoteRef/>
      </w:r>
      <w:r w:rsidRPr="001A57C5">
        <w:rPr>
          <w:rFonts w:cstheme="minorHAnsi"/>
        </w:rPr>
        <w:t xml:space="preserve"> http://www.pipcpatients.org/uploads/1/2/9/0/12902828/united_kingdom.pdf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B015B"/>
    <w:multiLevelType w:val="hybridMultilevel"/>
    <w:tmpl w:val="61D83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1D3E21"/>
    <w:multiLevelType w:val="hybridMultilevel"/>
    <w:tmpl w:val="564AD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44"/>
    <w:rsid w:val="00043E11"/>
    <w:rsid w:val="001A57C5"/>
    <w:rsid w:val="00254644"/>
    <w:rsid w:val="002A3704"/>
    <w:rsid w:val="0030343E"/>
    <w:rsid w:val="00414128"/>
    <w:rsid w:val="00420D1D"/>
    <w:rsid w:val="0045054A"/>
    <w:rsid w:val="004910D4"/>
    <w:rsid w:val="006272E8"/>
    <w:rsid w:val="00631A91"/>
    <w:rsid w:val="00695903"/>
    <w:rsid w:val="008B1633"/>
    <w:rsid w:val="0091632B"/>
    <w:rsid w:val="009375EF"/>
    <w:rsid w:val="009E25F3"/>
    <w:rsid w:val="00A6452A"/>
    <w:rsid w:val="00A66D22"/>
    <w:rsid w:val="00B50D0B"/>
    <w:rsid w:val="00B6344A"/>
    <w:rsid w:val="00C07545"/>
    <w:rsid w:val="00C121FD"/>
    <w:rsid w:val="00CA4B7F"/>
    <w:rsid w:val="00CA62D0"/>
    <w:rsid w:val="00D0013E"/>
    <w:rsid w:val="00D666BC"/>
    <w:rsid w:val="00D73C24"/>
    <w:rsid w:val="00E13920"/>
    <w:rsid w:val="00E24222"/>
    <w:rsid w:val="00E62A3B"/>
    <w:rsid w:val="00E8447C"/>
    <w:rsid w:val="00F54E2E"/>
    <w:rsid w:val="00F767F0"/>
    <w:rsid w:val="00FA5DB7"/>
    <w:rsid w:val="00FC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9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31A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44"/>
    <w:pPr>
      <w:ind w:left="720"/>
      <w:contextualSpacing/>
    </w:pPr>
  </w:style>
  <w:style w:type="character" w:styleId="Hyperlink">
    <w:name w:val="Hyperlink"/>
    <w:basedOn w:val="DefaultParagraphFont"/>
    <w:uiPriority w:val="99"/>
    <w:unhideWhenUsed/>
    <w:rsid w:val="00D73C24"/>
    <w:rPr>
      <w:color w:val="0563C1" w:themeColor="hyperlink"/>
      <w:u w:val="single"/>
    </w:rPr>
  </w:style>
  <w:style w:type="character" w:styleId="UnresolvedMention">
    <w:name w:val="Unresolved Mention"/>
    <w:basedOn w:val="DefaultParagraphFont"/>
    <w:uiPriority w:val="99"/>
    <w:semiHidden/>
    <w:unhideWhenUsed/>
    <w:rsid w:val="00C07545"/>
    <w:rPr>
      <w:color w:val="605E5C"/>
      <w:shd w:val="clear" w:color="auto" w:fill="E1DFDD"/>
    </w:rPr>
  </w:style>
  <w:style w:type="character" w:styleId="FollowedHyperlink">
    <w:name w:val="FollowedHyperlink"/>
    <w:basedOn w:val="DefaultParagraphFont"/>
    <w:uiPriority w:val="99"/>
    <w:semiHidden/>
    <w:unhideWhenUsed/>
    <w:rsid w:val="00E8447C"/>
    <w:rPr>
      <w:color w:val="954F72" w:themeColor="followedHyperlink"/>
      <w:u w:val="single"/>
    </w:rPr>
  </w:style>
  <w:style w:type="paragraph" w:styleId="NormalWeb">
    <w:name w:val="Normal (Web)"/>
    <w:basedOn w:val="Normal"/>
    <w:uiPriority w:val="99"/>
    <w:unhideWhenUsed/>
    <w:rsid w:val="00FA5D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5DB7"/>
    <w:pPr>
      <w:spacing w:after="0" w:line="240" w:lineRule="auto"/>
    </w:pPr>
  </w:style>
  <w:style w:type="paragraph" w:styleId="FootnoteText">
    <w:name w:val="footnote text"/>
    <w:basedOn w:val="Normal"/>
    <w:link w:val="FootnoteTextChar"/>
    <w:uiPriority w:val="99"/>
    <w:semiHidden/>
    <w:unhideWhenUsed/>
    <w:rsid w:val="00414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128"/>
    <w:rPr>
      <w:sz w:val="20"/>
      <w:szCs w:val="20"/>
    </w:rPr>
  </w:style>
  <w:style w:type="character" w:styleId="FootnoteReference">
    <w:name w:val="footnote reference"/>
    <w:basedOn w:val="DefaultParagraphFont"/>
    <w:uiPriority w:val="99"/>
    <w:semiHidden/>
    <w:unhideWhenUsed/>
    <w:rsid w:val="00414128"/>
    <w:rPr>
      <w:vertAlign w:val="superscript"/>
    </w:rPr>
  </w:style>
  <w:style w:type="character" w:customStyle="1" w:styleId="Heading1Char">
    <w:name w:val="Heading 1 Char"/>
    <w:basedOn w:val="DefaultParagraphFont"/>
    <w:link w:val="Heading1"/>
    <w:uiPriority w:val="9"/>
    <w:rsid w:val="00631A9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13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920"/>
  </w:style>
  <w:style w:type="paragraph" w:styleId="Footer">
    <w:name w:val="footer"/>
    <w:basedOn w:val="Normal"/>
    <w:link w:val="FooterChar"/>
    <w:uiPriority w:val="99"/>
    <w:unhideWhenUsed/>
    <w:rsid w:val="00E13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196">
      <w:bodyDiv w:val="1"/>
      <w:marLeft w:val="0"/>
      <w:marRight w:val="0"/>
      <w:marTop w:val="0"/>
      <w:marBottom w:val="0"/>
      <w:divBdr>
        <w:top w:val="none" w:sz="0" w:space="0" w:color="auto"/>
        <w:left w:val="none" w:sz="0" w:space="0" w:color="auto"/>
        <w:bottom w:val="none" w:sz="0" w:space="0" w:color="auto"/>
        <w:right w:val="none" w:sz="0" w:space="0" w:color="auto"/>
      </w:divBdr>
      <w:divsChild>
        <w:div w:id="206839613">
          <w:marLeft w:val="0"/>
          <w:marRight w:val="0"/>
          <w:marTop w:val="0"/>
          <w:marBottom w:val="0"/>
          <w:divBdr>
            <w:top w:val="none" w:sz="0" w:space="0" w:color="auto"/>
            <w:left w:val="none" w:sz="0" w:space="0" w:color="auto"/>
            <w:bottom w:val="none" w:sz="0" w:space="0" w:color="auto"/>
            <w:right w:val="none" w:sz="0" w:space="0" w:color="auto"/>
          </w:divBdr>
          <w:divsChild>
            <w:div w:id="163016158">
              <w:marLeft w:val="0"/>
              <w:marRight w:val="0"/>
              <w:marTop w:val="0"/>
              <w:marBottom w:val="0"/>
              <w:divBdr>
                <w:top w:val="none" w:sz="0" w:space="0" w:color="auto"/>
                <w:left w:val="none" w:sz="0" w:space="0" w:color="auto"/>
                <w:bottom w:val="none" w:sz="0" w:space="0" w:color="auto"/>
                <w:right w:val="none" w:sz="0" w:space="0" w:color="auto"/>
              </w:divBdr>
              <w:divsChild>
                <w:div w:id="1789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0500">
      <w:bodyDiv w:val="1"/>
      <w:marLeft w:val="0"/>
      <w:marRight w:val="0"/>
      <w:marTop w:val="0"/>
      <w:marBottom w:val="0"/>
      <w:divBdr>
        <w:top w:val="none" w:sz="0" w:space="0" w:color="auto"/>
        <w:left w:val="none" w:sz="0" w:space="0" w:color="auto"/>
        <w:bottom w:val="none" w:sz="0" w:space="0" w:color="auto"/>
        <w:right w:val="none" w:sz="0" w:space="0" w:color="auto"/>
      </w:divBdr>
    </w:div>
    <w:div w:id="1063063637">
      <w:bodyDiv w:val="1"/>
      <w:marLeft w:val="0"/>
      <w:marRight w:val="0"/>
      <w:marTop w:val="0"/>
      <w:marBottom w:val="0"/>
      <w:divBdr>
        <w:top w:val="none" w:sz="0" w:space="0" w:color="auto"/>
        <w:left w:val="none" w:sz="0" w:space="0" w:color="auto"/>
        <w:bottom w:val="none" w:sz="0" w:space="0" w:color="auto"/>
        <w:right w:val="none" w:sz="0" w:space="0" w:color="auto"/>
      </w:divBdr>
    </w:div>
    <w:div w:id="1440370733">
      <w:bodyDiv w:val="1"/>
      <w:marLeft w:val="0"/>
      <w:marRight w:val="0"/>
      <w:marTop w:val="0"/>
      <w:marBottom w:val="0"/>
      <w:divBdr>
        <w:top w:val="none" w:sz="0" w:space="0" w:color="auto"/>
        <w:left w:val="none" w:sz="0" w:space="0" w:color="auto"/>
        <w:bottom w:val="none" w:sz="0" w:space="0" w:color="auto"/>
        <w:right w:val="none" w:sz="0" w:space="0" w:color="auto"/>
      </w:divBdr>
      <w:divsChild>
        <w:div w:id="1274825468">
          <w:marLeft w:val="0"/>
          <w:marRight w:val="0"/>
          <w:marTop w:val="0"/>
          <w:marBottom w:val="0"/>
          <w:divBdr>
            <w:top w:val="none" w:sz="0" w:space="0" w:color="auto"/>
            <w:left w:val="none" w:sz="0" w:space="0" w:color="auto"/>
            <w:bottom w:val="none" w:sz="0" w:space="0" w:color="auto"/>
            <w:right w:val="none" w:sz="0" w:space="0" w:color="auto"/>
          </w:divBdr>
          <w:divsChild>
            <w:div w:id="716315582">
              <w:marLeft w:val="0"/>
              <w:marRight w:val="0"/>
              <w:marTop w:val="0"/>
              <w:marBottom w:val="0"/>
              <w:divBdr>
                <w:top w:val="none" w:sz="0" w:space="0" w:color="auto"/>
                <w:left w:val="none" w:sz="0" w:space="0" w:color="auto"/>
                <w:bottom w:val="none" w:sz="0" w:space="0" w:color="auto"/>
                <w:right w:val="none" w:sz="0" w:space="0" w:color="auto"/>
              </w:divBdr>
              <w:divsChild>
                <w:div w:id="2771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6978">
      <w:bodyDiv w:val="1"/>
      <w:marLeft w:val="0"/>
      <w:marRight w:val="0"/>
      <w:marTop w:val="0"/>
      <w:marBottom w:val="0"/>
      <w:divBdr>
        <w:top w:val="none" w:sz="0" w:space="0" w:color="auto"/>
        <w:left w:val="none" w:sz="0" w:space="0" w:color="auto"/>
        <w:bottom w:val="none" w:sz="0" w:space="0" w:color="auto"/>
        <w:right w:val="none" w:sz="0" w:space="0" w:color="auto"/>
      </w:divBdr>
    </w:div>
    <w:div w:id="1523275570">
      <w:bodyDiv w:val="1"/>
      <w:marLeft w:val="0"/>
      <w:marRight w:val="0"/>
      <w:marTop w:val="0"/>
      <w:marBottom w:val="0"/>
      <w:divBdr>
        <w:top w:val="none" w:sz="0" w:space="0" w:color="auto"/>
        <w:left w:val="none" w:sz="0" w:space="0" w:color="auto"/>
        <w:bottom w:val="none" w:sz="0" w:space="0" w:color="auto"/>
        <w:right w:val="none" w:sz="0" w:space="0" w:color="auto"/>
      </w:divBdr>
      <w:divsChild>
        <w:div w:id="1251160430">
          <w:marLeft w:val="0"/>
          <w:marRight w:val="0"/>
          <w:marTop w:val="0"/>
          <w:marBottom w:val="0"/>
          <w:divBdr>
            <w:top w:val="none" w:sz="0" w:space="0" w:color="auto"/>
            <w:left w:val="none" w:sz="0" w:space="0" w:color="auto"/>
            <w:bottom w:val="none" w:sz="0" w:space="0" w:color="auto"/>
            <w:right w:val="none" w:sz="0" w:space="0" w:color="auto"/>
          </w:divBdr>
          <w:divsChild>
            <w:div w:id="161896399">
              <w:marLeft w:val="0"/>
              <w:marRight w:val="0"/>
              <w:marTop w:val="0"/>
              <w:marBottom w:val="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3936">
      <w:bodyDiv w:val="1"/>
      <w:marLeft w:val="0"/>
      <w:marRight w:val="0"/>
      <w:marTop w:val="0"/>
      <w:marBottom w:val="0"/>
      <w:divBdr>
        <w:top w:val="none" w:sz="0" w:space="0" w:color="auto"/>
        <w:left w:val="none" w:sz="0" w:space="0" w:color="auto"/>
        <w:bottom w:val="none" w:sz="0" w:space="0" w:color="auto"/>
        <w:right w:val="none" w:sz="0" w:space="0" w:color="auto"/>
      </w:divBdr>
      <w:divsChild>
        <w:div w:id="898518855">
          <w:marLeft w:val="0"/>
          <w:marRight w:val="0"/>
          <w:marTop w:val="0"/>
          <w:marBottom w:val="0"/>
          <w:divBdr>
            <w:top w:val="none" w:sz="0" w:space="0" w:color="auto"/>
            <w:left w:val="none" w:sz="0" w:space="0" w:color="auto"/>
            <w:bottom w:val="none" w:sz="0" w:space="0" w:color="auto"/>
            <w:right w:val="none" w:sz="0" w:space="0" w:color="auto"/>
          </w:divBdr>
        </w:div>
        <w:div w:id="1769692055">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yer@pipcpatie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2019-12-16T22:40:00Z</dcterms:created>
  <dcterms:modified xsi:type="dcterms:W3CDTF">2019-12-17T19:08:00Z</dcterms:modified>
</cp:coreProperties>
</file>